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CB0A" w14:textId="1DE053B0" w:rsidR="00FF0F78"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TSG-RAN2#121</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A9008D" w:rsidRPr="00A9008D">
        <w:rPr>
          <w:rFonts w:eastAsia="SimSun" w:cs="Arial"/>
          <w:b/>
          <w:kern w:val="0"/>
          <w:sz w:val="28"/>
          <w:szCs w:val="28"/>
          <w:lang w:val="en-US" w:eastAsia="en-US"/>
        </w:rPr>
        <w:t>R2-2300564</w:t>
      </w:r>
    </w:p>
    <w:p w14:paraId="277EF110" w14:textId="6E7B76FC" w:rsidR="00FF0F78"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Athens, </w:t>
      </w:r>
      <w:r w:rsidR="00A9008D">
        <w:rPr>
          <w:rFonts w:eastAsia="SimSun" w:cs="Arial"/>
          <w:b/>
          <w:kern w:val="0"/>
          <w:sz w:val="28"/>
          <w:szCs w:val="28"/>
          <w:lang w:val="en-US" w:eastAsia="en-US"/>
        </w:rPr>
        <w:t>GR, 27</w:t>
      </w:r>
      <w:r w:rsidR="00A9008D" w:rsidRPr="00A9008D">
        <w:rPr>
          <w:rFonts w:eastAsia="SimSun" w:cs="Arial"/>
          <w:b/>
          <w:kern w:val="0"/>
          <w:sz w:val="28"/>
          <w:szCs w:val="28"/>
          <w:vertAlign w:val="superscript"/>
          <w:lang w:val="en-US" w:eastAsia="en-US"/>
        </w:rPr>
        <w:t>th</w:t>
      </w:r>
      <w:r w:rsidR="00A9008D">
        <w:rPr>
          <w:rFonts w:eastAsia="SimSun" w:cs="Arial"/>
          <w:b/>
          <w:kern w:val="0"/>
          <w:sz w:val="28"/>
          <w:szCs w:val="28"/>
          <w:lang w:val="en-US" w:eastAsia="en-US"/>
        </w:rPr>
        <w:t xml:space="preserve"> Feb – 3</w:t>
      </w:r>
      <w:r w:rsidR="00A9008D" w:rsidRPr="00A9008D">
        <w:rPr>
          <w:rFonts w:eastAsia="SimSun" w:cs="Arial"/>
          <w:b/>
          <w:kern w:val="0"/>
          <w:sz w:val="28"/>
          <w:szCs w:val="28"/>
          <w:vertAlign w:val="superscript"/>
          <w:lang w:val="en-US" w:eastAsia="en-US"/>
        </w:rPr>
        <w:t>rd</w:t>
      </w:r>
      <w:r w:rsidR="00A9008D">
        <w:rPr>
          <w:rFonts w:eastAsia="SimSun" w:cs="Arial"/>
          <w:b/>
          <w:kern w:val="0"/>
          <w:sz w:val="28"/>
          <w:szCs w:val="28"/>
          <w:lang w:val="en-US" w:eastAsia="en-US"/>
        </w:rPr>
        <w:t xml:space="preserve"> Mar</w:t>
      </w:r>
      <w:r>
        <w:rPr>
          <w:rFonts w:eastAsia="SimSun" w:cs="Arial"/>
          <w:b/>
          <w:kern w:val="0"/>
          <w:sz w:val="28"/>
          <w:szCs w:val="28"/>
          <w:lang w:val="en-US" w:eastAsia="en-US"/>
        </w:rPr>
        <w:t xml:space="preserve">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4BF2AFA7" w14:textId="77777777" w:rsidR="00FF0F78"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8498664" w14:textId="77777777" w:rsidR="00FF0F78"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PDU set and data burst information </w:t>
      </w:r>
    </w:p>
    <w:p w14:paraId="77B5734E" w14:textId="77777777" w:rsidR="00FF0F78"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8.5.2.1</w:t>
      </w:r>
    </w:p>
    <w:p w14:paraId="07157465" w14:textId="77777777" w:rsidR="00FF0F7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D1F004F" w14:textId="77777777" w:rsidR="00FF0F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095BCAB1" w14:textId="77777777" w:rsidR="00FF0F7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indication, but there are some FFSs to be studied. </w:t>
      </w:r>
      <w:r>
        <w:rPr>
          <w:rFonts w:cs="Arial"/>
          <w:color w:val="000000"/>
          <w:sz w:val="21"/>
        </w:rPr>
        <w:t xml:space="preserve">In this contribution, we </w:t>
      </w:r>
      <w:r>
        <w:rPr>
          <w:rFonts w:eastAsia="SimSun" w:cs="Arial" w:hint="eastAsia"/>
          <w:color w:val="000000"/>
          <w:sz w:val="21"/>
          <w:lang w:val="en-US" w:eastAsia="zh-CN"/>
        </w:rPr>
        <w:t xml:space="preserve">will </w:t>
      </w:r>
      <w:r>
        <w:rPr>
          <w:rFonts w:cs="Arial"/>
          <w:color w:val="000000"/>
          <w:sz w:val="21"/>
        </w:rPr>
        <w:t xml:space="preserve">study the </w:t>
      </w:r>
      <w:r>
        <w:rPr>
          <w:rFonts w:eastAsia="SimSun" w:cs="Arial" w:hint="eastAsia"/>
          <w:color w:val="000000"/>
          <w:sz w:val="21"/>
          <w:lang w:val="en-US" w:eastAsia="zh-CN"/>
        </w:rPr>
        <w:t>following issues</w:t>
      </w:r>
      <w:r>
        <w:rPr>
          <w:rFonts w:cs="Arial"/>
          <w:color w:val="000000"/>
          <w:sz w:val="21"/>
        </w:rPr>
        <w:t xml:space="preserve"> that </w:t>
      </w:r>
      <w:r>
        <w:rPr>
          <w:rFonts w:eastAsia="SimSun" w:cs="Arial" w:hint="eastAsia"/>
          <w:color w:val="000000"/>
          <w:sz w:val="21"/>
          <w:lang w:val="en-US" w:eastAsia="zh-CN"/>
        </w:rPr>
        <w:t xml:space="preserve">are </w:t>
      </w:r>
      <w:proofErr w:type="gramStart"/>
      <w:r>
        <w:rPr>
          <w:rFonts w:eastAsia="SimSun" w:cs="Arial" w:hint="eastAsia"/>
          <w:color w:val="000000"/>
          <w:sz w:val="21"/>
          <w:lang w:val="en-US" w:eastAsia="zh-CN"/>
        </w:rPr>
        <w:t>pending[</w:t>
      </w:r>
      <w:proofErr w:type="gramEnd"/>
      <w:r>
        <w:rPr>
          <w:rFonts w:eastAsia="SimSun" w:cs="Arial" w:hint="eastAsia"/>
          <w:color w:val="000000"/>
          <w:sz w:val="21"/>
          <w:lang w:val="en-US" w:eastAsia="zh-CN"/>
        </w:rPr>
        <w:t>1]:</w:t>
      </w:r>
      <w:r>
        <w:rPr>
          <w:rFonts w:cs="Arial"/>
          <w:color w:val="000000"/>
          <w:sz w:val="21"/>
        </w:rPr>
        <w:t xml:space="preserve">  </w:t>
      </w:r>
    </w:p>
    <w:p w14:paraId="217BA2AC" w14:textId="77777777" w:rsidR="00FF0F78" w:rsidRDefault="00000000">
      <w:pPr>
        <w:pStyle w:val="NormalWeb"/>
        <w:numPr>
          <w:ilvl w:val="0"/>
          <w:numId w:val="6"/>
        </w:numPr>
        <w:spacing w:before="75" w:beforeAutospacing="0" w:after="75" w:afterAutospacing="0" w:line="315" w:lineRule="atLeast"/>
        <w:rPr>
          <w:rFonts w:cs="Arial"/>
          <w:i/>
          <w:iCs/>
          <w:color w:val="000000"/>
          <w:sz w:val="21"/>
        </w:rPr>
      </w:pPr>
      <w:r>
        <w:rPr>
          <w:rFonts w:eastAsia="SimSun" w:cs="Arial" w:hint="eastAsia"/>
          <w:i/>
          <w:iCs/>
          <w:color w:val="000000"/>
          <w:sz w:val="21"/>
          <w:lang w:val="en-US" w:eastAsia="zh-CN"/>
        </w:rPr>
        <w:t>W</w:t>
      </w:r>
      <w:proofErr w:type="spellStart"/>
      <w:r>
        <w:rPr>
          <w:rFonts w:cs="Arial"/>
          <w:i/>
          <w:iCs/>
          <w:color w:val="000000"/>
          <w:sz w:val="21"/>
        </w:rPr>
        <w:t>hether</w:t>
      </w:r>
      <w:proofErr w:type="spellEnd"/>
      <w:r>
        <w:rPr>
          <w:rFonts w:cs="Arial"/>
          <w:i/>
          <w:iCs/>
          <w:color w:val="000000"/>
          <w:sz w:val="21"/>
        </w:rPr>
        <w:t xml:space="preserve"> jitter is applicable to XR traffic in UL</w:t>
      </w:r>
    </w:p>
    <w:p w14:paraId="1F1C6712" w14:textId="77777777" w:rsidR="00FF0F78" w:rsidRDefault="00000000">
      <w:pPr>
        <w:pStyle w:val="NormalWeb"/>
        <w:numPr>
          <w:ilvl w:val="0"/>
          <w:numId w:val="6"/>
        </w:numPr>
        <w:spacing w:before="75" w:beforeAutospacing="0" w:after="75" w:afterAutospacing="0" w:line="315" w:lineRule="atLeast"/>
        <w:rPr>
          <w:rFonts w:cs="Arial"/>
          <w:color w:val="000000"/>
          <w:sz w:val="21"/>
        </w:rPr>
      </w:pPr>
      <w:r>
        <w:rPr>
          <w:rFonts w:eastAsia="SimSun" w:cs="Arial" w:hint="eastAsia"/>
          <w:i/>
          <w:iCs/>
          <w:color w:val="000000"/>
          <w:sz w:val="21"/>
          <w:lang w:val="en-US" w:eastAsia="zh-CN"/>
        </w:rPr>
        <w:t>H</w:t>
      </w:r>
      <w:r>
        <w:rPr>
          <w:rFonts w:cs="Arial"/>
          <w:i/>
          <w:iCs/>
          <w:color w:val="000000"/>
          <w:sz w:val="21"/>
        </w:rPr>
        <w:t>ow to use the PDU set information in RAN.</w:t>
      </w:r>
    </w:p>
    <w:p w14:paraId="1FAAD510" w14:textId="77777777" w:rsidR="00FF0F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rPr>
        <w:t>Whether jitter is applicable to XR traffic in UL</w:t>
      </w:r>
    </w:p>
    <w:p w14:paraId="77BC9123" w14:textId="77777777" w:rsidR="00FF0F78" w:rsidRDefault="00000000">
      <w:pPr>
        <w:pStyle w:val="NormalWeb"/>
        <w:spacing w:before="75" w:beforeAutospacing="0" w:after="75" w:afterAutospacing="0" w:line="315" w:lineRule="atLeast"/>
        <w:rPr>
          <w:rFonts w:eastAsia="SimSun" w:cs="Arial"/>
          <w:color w:val="000000"/>
          <w:sz w:val="21"/>
          <w:lang w:val="en-US" w:eastAsia="zh-CN"/>
        </w:rPr>
      </w:pPr>
      <w:r>
        <w:rPr>
          <w:rFonts w:cs="Arial" w:hint="eastAsia"/>
          <w:color w:val="000000"/>
          <w:sz w:val="21"/>
          <w:lang w:val="en-US" w:eastAsia="zh-CN"/>
        </w:rPr>
        <w:t>During</w:t>
      </w:r>
      <w:r>
        <w:rPr>
          <w:rFonts w:cs="Arial"/>
          <w:color w:val="000000"/>
          <w:sz w:val="21"/>
        </w:rPr>
        <w:t xml:space="preserve"> the </w:t>
      </w:r>
      <w:r>
        <w:rPr>
          <w:rFonts w:eastAsia="SimSun" w:cs="Arial" w:hint="eastAsia"/>
          <w:color w:val="000000"/>
          <w:sz w:val="21"/>
          <w:lang w:val="en-US" w:eastAsia="zh-CN"/>
        </w:rPr>
        <w:t xml:space="preserve">XR </w:t>
      </w:r>
      <w:r>
        <w:rPr>
          <w:rFonts w:cs="Arial"/>
          <w:color w:val="000000"/>
          <w:sz w:val="21"/>
        </w:rPr>
        <w:t>study item</w:t>
      </w:r>
      <w:r>
        <w:rPr>
          <w:rFonts w:eastAsia="SimSun" w:cs="Arial" w:hint="eastAsia"/>
          <w:color w:val="000000"/>
          <w:sz w:val="21"/>
          <w:lang w:val="en-US" w:eastAsia="zh-CN"/>
        </w:rPr>
        <w:t>, the following agreement is agreed by SA2[2].</w:t>
      </w:r>
    </w:p>
    <w:tbl>
      <w:tblPr>
        <w:tblStyle w:val="TableGrid"/>
        <w:tblW w:w="0" w:type="auto"/>
        <w:tblLook w:val="04A0" w:firstRow="1" w:lastRow="0" w:firstColumn="1" w:lastColumn="0" w:noHBand="0" w:noVBand="1"/>
      </w:tblPr>
      <w:tblGrid>
        <w:gridCol w:w="9771"/>
      </w:tblGrid>
      <w:tr w:rsidR="00FF0F78" w14:paraId="2B62DFF4" w14:textId="77777777">
        <w:tc>
          <w:tcPr>
            <w:tcW w:w="9997" w:type="dxa"/>
          </w:tcPr>
          <w:p w14:paraId="1818F31D" w14:textId="77777777" w:rsidR="00FF0F78" w:rsidRDefault="00000000">
            <w:r>
              <w:t>The following information, to be provided to the NG-RAN at PDU Session Establishment/Modification via an NGAP Message, is taken as baseline for normative work:</w:t>
            </w:r>
          </w:p>
          <w:p w14:paraId="10335BB5" w14:textId="77777777" w:rsidR="00FF0F78" w:rsidRDefault="00000000">
            <w:pPr>
              <w:pStyle w:val="B1"/>
            </w:pPr>
            <w:r>
              <w:t>-</w:t>
            </w:r>
            <w:r>
              <w:tab/>
              <w:t xml:space="preserve">Periodicity for UL and DL traffic of the QoS Flow. In addition to integer periodicity values, non-integer values associated to, </w:t>
            </w:r>
            <w:proofErr w:type="gramStart"/>
            <w:r>
              <w:t>e.g.</w:t>
            </w:r>
            <w:proofErr w:type="gramEnd"/>
            <w:r>
              <w:t xml:space="preserve"> 15 FPS, 30 FPS, 45FPS, 60 FPS, 72 FPS, 90FPS, 120FPS, shall be supported. Such information shall be exchanged by re-using/extending the TSCAI/TSCAC definitions in clause 5.27.2.1 of TS 23.501 [2].</w:t>
            </w:r>
          </w:p>
          <w:p w14:paraId="1D51DCC3" w14:textId="77777777" w:rsidR="00FF0F78" w:rsidRDefault="00000000">
            <w:pPr>
              <w:pStyle w:val="NO"/>
            </w:pPr>
            <w:r>
              <w:t xml:space="preserve">NOTE 1: </w:t>
            </w:r>
            <w:r>
              <w:tab/>
              <w:t>The above information can be provided to the 5GC by the AF via an NEF API. The 5GC can further derive, or be configured, with such information.</w:t>
            </w:r>
          </w:p>
          <w:p w14:paraId="688EEC8B" w14:textId="77777777" w:rsidR="00FF0F78" w:rsidRDefault="00000000">
            <w:pPr>
              <w:pStyle w:val="B1"/>
              <w:rPr>
                <w:rFonts w:eastAsia="DengXian"/>
                <w:lang w:eastAsia="zh-CN"/>
              </w:rPr>
            </w:pPr>
            <w:r>
              <w:t>-</w:t>
            </w:r>
            <w:r>
              <w:tab/>
              <w:t>Traffic jitter information</w:t>
            </w:r>
            <w:r>
              <w:rPr>
                <w:rFonts w:eastAsia="DengXian" w:hint="eastAsia"/>
                <w:lang w:eastAsia="zh-CN"/>
              </w:rPr>
              <w:t xml:space="preserve"> </w:t>
            </w:r>
            <w:r>
              <w:t>(</w:t>
            </w:r>
            <w:proofErr w:type="gramStart"/>
            <w:r>
              <w:t>e.g.</w:t>
            </w:r>
            <w:proofErr w:type="gramEnd"/>
            <w:r>
              <w:t xml:space="preserve"> jitter range) associated with each periodicity. The SMF requests the UPF to derive jitter (</w:t>
            </w:r>
            <w:proofErr w:type="gramStart"/>
            <w:r>
              <w:t>i.e.</w:t>
            </w:r>
            <w:proofErr w:type="gramEnd"/>
            <w:r>
              <w:t xml:space="preserve"> N6 jitter) for a given periodicity. 5GC derives jitter information accordingly and forwards it to the RAN along with periodicity</w:t>
            </w:r>
            <w:r>
              <w:rPr>
                <w:rFonts w:eastAsia="DengXian" w:hint="eastAsia"/>
                <w:lang w:eastAsia="zh-CN"/>
              </w:rPr>
              <w:t>.</w:t>
            </w:r>
          </w:p>
          <w:p w14:paraId="4E158A2E" w14:textId="77777777" w:rsidR="00FF0F78" w:rsidRDefault="00000000">
            <w:pPr>
              <w:pStyle w:val="NO"/>
              <w:rPr>
                <w:rFonts w:cs="Arial"/>
                <w:color w:val="000000"/>
                <w:sz w:val="21"/>
                <w:lang w:val="en-US" w:eastAsia="zh-CN"/>
              </w:rPr>
            </w:pPr>
            <w:r>
              <w:t xml:space="preserve">NOTE 2: </w:t>
            </w:r>
            <w:r>
              <w:tab/>
              <w:t>How the UPF derives the jitter is left for implementation. How the SMF obtains and provides the jitter information will be defined in the normative phase.</w:t>
            </w:r>
          </w:p>
        </w:tc>
      </w:tr>
    </w:tbl>
    <w:p w14:paraId="0B3653EF" w14:textId="77777777" w:rsidR="00FF0F78"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Although it is described that the jitter includes N6 jitter, the N6 jitter includes the N6 delivery jitter and jitter produced by the application layer. The N6 delivery jitter does not impact UL, but the jitter produced by the application layer exists in UL.</w:t>
      </w:r>
    </w:p>
    <w:p w14:paraId="02528D2E" w14:textId="446B3425" w:rsidR="005C58E2" w:rsidRDefault="005C58E2">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Furthermore, even if the XR traffic is perfectly periodic, there could be more than one types of UL traffic with different inherent periodicities (</w:t>
      </w:r>
      <w:proofErr w:type="gramStart"/>
      <w:r>
        <w:rPr>
          <w:rFonts w:cs="Arial"/>
          <w:color w:val="000000"/>
          <w:sz w:val="21"/>
          <w:lang w:val="en-US" w:eastAsia="zh-CN"/>
        </w:rPr>
        <w:t>e.g.</w:t>
      </w:r>
      <w:proofErr w:type="gramEnd"/>
      <w:r>
        <w:rPr>
          <w:rFonts w:cs="Arial"/>
          <w:color w:val="000000"/>
          <w:sz w:val="21"/>
          <w:lang w:val="en-US" w:eastAsia="zh-CN"/>
        </w:rPr>
        <w:t xml:space="preserve"> multiplexed voice and video). The different periodicities in UL data also manifest as jitter since the arrival time of the packet will vary. In addition, a further</w:t>
      </w:r>
      <w:r w:rsidRPr="005C58E2">
        <w:rPr>
          <w:rFonts w:cs="Arial"/>
          <w:color w:val="000000"/>
          <w:sz w:val="21"/>
          <w:lang w:val="en-US" w:eastAsia="zh-CN"/>
        </w:rPr>
        <w:t xml:space="preserve"> problem with XR traffic is that the packet sizes vary a lot</w:t>
      </w:r>
      <w:r>
        <w:rPr>
          <w:rFonts w:cs="Arial"/>
          <w:color w:val="000000"/>
          <w:sz w:val="21"/>
          <w:lang w:val="en-US" w:eastAsia="zh-CN"/>
        </w:rPr>
        <w:t xml:space="preserve"> as shown in </w:t>
      </w:r>
      <w:r w:rsidR="000753A5">
        <w:rPr>
          <w:rFonts w:cs="Arial"/>
          <w:color w:val="000000"/>
          <w:sz w:val="21"/>
          <w:lang w:val="en-US" w:eastAsia="zh-CN"/>
        </w:rPr>
        <w:fldChar w:fldCharType="begin"/>
      </w:r>
      <w:r w:rsidR="000753A5">
        <w:rPr>
          <w:rFonts w:cs="Arial"/>
          <w:color w:val="000000"/>
          <w:sz w:val="21"/>
          <w:lang w:val="en-US" w:eastAsia="zh-CN"/>
        </w:rPr>
        <w:instrText xml:space="preserve"> REF _Ref115174026 \h </w:instrText>
      </w:r>
      <w:r w:rsidR="000753A5">
        <w:rPr>
          <w:rFonts w:cs="Arial"/>
          <w:color w:val="000000"/>
          <w:sz w:val="21"/>
          <w:lang w:val="en-US" w:eastAsia="zh-CN"/>
        </w:rPr>
      </w:r>
      <w:r w:rsidR="000753A5">
        <w:rPr>
          <w:rFonts w:cs="Arial"/>
          <w:color w:val="000000"/>
          <w:sz w:val="21"/>
          <w:lang w:val="en-US" w:eastAsia="zh-CN"/>
        </w:rPr>
        <w:fldChar w:fldCharType="separate"/>
      </w:r>
      <w:r w:rsidR="000753A5">
        <w:t xml:space="preserve">Figure </w:t>
      </w:r>
      <w:r w:rsidR="000753A5">
        <w:rPr>
          <w:noProof/>
        </w:rPr>
        <w:t>1</w:t>
      </w:r>
      <w:r w:rsidR="000753A5">
        <w:rPr>
          <w:rFonts w:cs="Arial"/>
          <w:color w:val="000000"/>
          <w:sz w:val="21"/>
          <w:lang w:val="en-US" w:eastAsia="zh-CN"/>
        </w:rPr>
        <w:fldChar w:fldCharType="end"/>
      </w:r>
      <w:r>
        <w:rPr>
          <w:rFonts w:cs="Arial"/>
          <w:color w:val="000000"/>
          <w:sz w:val="21"/>
          <w:lang w:val="en-US" w:eastAsia="zh-CN"/>
        </w:rPr>
        <w:t xml:space="preserve">. </w:t>
      </w:r>
    </w:p>
    <w:p w14:paraId="1958CDDF" w14:textId="77777777" w:rsidR="005C58E2" w:rsidRDefault="005C58E2" w:rsidP="005C58E2">
      <w:pPr>
        <w:keepNext/>
      </w:pPr>
      <w:r w:rsidRPr="004A4FBA">
        <w:rPr>
          <w:noProof/>
        </w:rPr>
        <w:lastRenderedPageBreak/>
        <w:drawing>
          <wp:inline distT="0" distB="0" distL="0" distR="0" wp14:anchorId="3C9D05A0" wp14:editId="6EEDA303">
            <wp:extent cx="6241774" cy="2763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7606" cy="2770133"/>
                    </a:xfrm>
                    <a:prstGeom prst="rect">
                      <a:avLst/>
                    </a:prstGeom>
                    <a:noFill/>
                    <a:ln>
                      <a:noFill/>
                    </a:ln>
                  </pic:spPr>
                </pic:pic>
              </a:graphicData>
            </a:graphic>
          </wp:inline>
        </w:drawing>
      </w:r>
    </w:p>
    <w:p w14:paraId="7EDE98E8" w14:textId="77777777" w:rsidR="005C58E2" w:rsidRDefault="005C58E2" w:rsidP="005C58E2">
      <w:pPr>
        <w:pStyle w:val="Caption"/>
        <w:jc w:val="center"/>
      </w:pPr>
      <w:bookmarkStart w:id="6" w:name="_Ref115174026"/>
      <w:r>
        <w:t xml:space="preserve">Figure </w:t>
      </w:r>
      <w:fldSimple w:instr=" SEQ Figure \* ARABIC ">
        <w:r>
          <w:rPr>
            <w:noProof/>
          </w:rPr>
          <w:t>1</w:t>
        </w:r>
      </w:fldSimple>
      <w:bookmarkEnd w:id="6"/>
      <w:r>
        <w:t>: Packet size distribution in XR traffic</w:t>
      </w:r>
    </w:p>
    <w:p w14:paraId="4BF97AE1" w14:textId="31B5C128" w:rsidR="005C58E2" w:rsidRDefault="005C58E2">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Based on the above, it can be observed there is a variance in UL traffic arrival time even with periodic traffic in UL. </w:t>
      </w:r>
    </w:p>
    <w:p w14:paraId="5AD2B5C0" w14:textId="77777777" w:rsidR="005C58E2" w:rsidRDefault="005C58E2">
      <w:pPr>
        <w:pStyle w:val="NormalWeb"/>
        <w:spacing w:before="75" w:beforeAutospacing="0" w:after="75" w:afterAutospacing="0" w:line="315" w:lineRule="atLeast"/>
        <w:rPr>
          <w:rFonts w:cs="Arial"/>
          <w:color w:val="000000"/>
          <w:sz w:val="21"/>
          <w:lang w:val="en-US" w:eastAsia="zh-CN"/>
        </w:rPr>
      </w:pPr>
    </w:p>
    <w:p w14:paraId="3E4D3076" w14:textId="27B18E48" w:rsidR="005C58E2" w:rsidRDefault="005C58E2" w:rsidP="005C58E2">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rPr>
        <w:t xml:space="preserve">Observation 1: </w:t>
      </w:r>
      <w:r>
        <w:rPr>
          <w:rFonts w:eastAsia="SimSun" w:cs="Arial" w:hint="eastAsia"/>
          <w:b/>
          <w:bCs/>
          <w:color w:val="000000"/>
          <w:sz w:val="21"/>
          <w:lang w:val="en-US" w:eastAsia="zh-CN"/>
        </w:rPr>
        <w:t>T</w:t>
      </w:r>
      <w:r>
        <w:rPr>
          <w:rFonts w:cs="Arial" w:hint="eastAsia"/>
          <w:b/>
          <w:bCs/>
          <w:color w:val="000000"/>
          <w:sz w:val="21"/>
          <w:lang w:val="en-US" w:eastAsia="zh-CN"/>
        </w:rPr>
        <w:t>he jitter produced by the application layer exists in UL</w:t>
      </w:r>
      <w:r w:rsidR="000753A5">
        <w:rPr>
          <w:rFonts w:cs="Arial"/>
          <w:b/>
          <w:bCs/>
          <w:color w:val="000000"/>
          <w:sz w:val="21"/>
          <w:lang w:val="en-US" w:eastAsia="zh-CN"/>
        </w:rPr>
        <w:t xml:space="preserve"> either due to inherent jitter in the generally periodic UL traffic or due to existence of multiple inherent periodicities within the UL traffic</w:t>
      </w:r>
      <w:r>
        <w:rPr>
          <w:rFonts w:cs="Arial" w:hint="eastAsia"/>
          <w:b/>
          <w:bCs/>
          <w:color w:val="000000"/>
          <w:sz w:val="21"/>
          <w:lang w:val="en-US" w:eastAsia="zh-CN"/>
        </w:rPr>
        <w:t>.</w:t>
      </w:r>
    </w:p>
    <w:p w14:paraId="4C487A0A" w14:textId="77777777" w:rsidR="005C58E2" w:rsidRDefault="005C58E2">
      <w:pPr>
        <w:pStyle w:val="NormalWeb"/>
        <w:spacing w:before="75" w:beforeAutospacing="0" w:after="75" w:afterAutospacing="0" w:line="315" w:lineRule="atLeast"/>
        <w:rPr>
          <w:rFonts w:cs="Arial"/>
          <w:color w:val="000000"/>
          <w:sz w:val="21"/>
          <w:lang w:val="en-US" w:eastAsia="zh-CN"/>
        </w:rPr>
      </w:pPr>
    </w:p>
    <w:p w14:paraId="045E44BC" w14:textId="747C4B6D" w:rsidR="00FF0F78"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The UL jitter impacts the UL resource configuration</w:t>
      </w:r>
      <w:r w:rsidR="005C58E2">
        <w:rPr>
          <w:rFonts w:cs="Arial"/>
          <w:color w:val="000000"/>
          <w:sz w:val="21"/>
          <w:lang w:val="en-US" w:eastAsia="zh-CN"/>
        </w:rPr>
        <w:t xml:space="preserve"> </w:t>
      </w:r>
      <w:r>
        <w:rPr>
          <w:rFonts w:cs="Arial" w:hint="eastAsia"/>
          <w:color w:val="000000"/>
          <w:sz w:val="21"/>
          <w:lang w:val="en-US" w:eastAsia="zh-CN"/>
        </w:rPr>
        <w:t>(</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CG resource) and UE power saving technique</w:t>
      </w:r>
      <w:r w:rsidR="005C58E2">
        <w:rPr>
          <w:rFonts w:cs="Arial"/>
          <w:color w:val="000000"/>
          <w:sz w:val="21"/>
          <w:lang w:val="en-US" w:eastAsia="zh-CN"/>
        </w:rPr>
        <w:t xml:space="preserve">s </w:t>
      </w:r>
      <w:r>
        <w:rPr>
          <w:rFonts w:cs="Arial" w:hint="eastAsia"/>
          <w:color w:val="000000"/>
          <w:sz w:val="21"/>
          <w:lang w:val="en-US" w:eastAsia="zh-CN"/>
        </w:rPr>
        <w:t>(e.g. PDCCH monitoring occasion), it is beneficial for resource efficiency improvement and UE power saving.</w:t>
      </w:r>
    </w:p>
    <w:p w14:paraId="0C38B0D2" w14:textId="77777777" w:rsidR="005C58E2" w:rsidRDefault="005C58E2" w:rsidP="005C58E2">
      <w:r>
        <w:t xml:space="preserve">As can be seen, different types of traffic frames may have different periodicities within the XR traffic and different frames will also have different sizes. CG is very much suitable for handling periodic traffic of a known size. Further, it is also possible to handle multiple periodicities within the traffic using multiple CG grants. </w:t>
      </w:r>
    </w:p>
    <w:p w14:paraId="75E43071" w14:textId="77777777" w:rsidR="005C58E2" w:rsidRPr="00C562F2" w:rsidRDefault="005C58E2" w:rsidP="005C58E2">
      <w:pPr>
        <w:rPr>
          <w:b/>
          <w:bCs/>
        </w:rPr>
      </w:pPr>
      <w:r w:rsidRPr="00C562F2">
        <w:rPr>
          <w:b/>
          <w:bCs/>
        </w:rPr>
        <w:t xml:space="preserve">Proposal 1: Multiple CG grants can be </w:t>
      </w:r>
      <w:r>
        <w:rPr>
          <w:b/>
          <w:bCs/>
        </w:rPr>
        <w:t>configured to the UE</w:t>
      </w:r>
      <w:r w:rsidRPr="00C562F2">
        <w:rPr>
          <w:b/>
          <w:bCs/>
        </w:rPr>
        <w:t xml:space="preserve"> to handle traffic with more than one inherent periodicity within the XR traffic</w:t>
      </w:r>
    </w:p>
    <w:p w14:paraId="4E235C2E" w14:textId="77777777" w:rsidR="005C58E2" w:rsidRDefault="005C58E2" w:rsidP="005C58E2">
      <w:r>
        <w:t xml:space="preserve">However, if the size of the traffic varies significantly the CG is not an ideal solution. </w:t>
      </w:r>
    </w:p>
    <w:p w14:paraId="3D9437BD" w14:textId="77777777" w:rsidR="005C58E2" w:rsidRDefault="005C58E2" w:rsidP="005C58E2">
      <w:r>
        <w:t xml:space="preserve">If the network allocates the CG resources for the largest packet </w:t>
      </w:r>
      <w:proofErr w:type="gramStart"/>
      <w:r>
        <w:t>size</w:t>
      </w:r>
      <w:proofErr w:type="gramEnd"/>
      <w:r>
        <w:t xml:space="preserve"> then the resources will be wasted every time. On the other hand, if the network tailors the CG resource for a smaller packet size, then not all XR traffic will be handled by CG resource and there will extra latency for the </w:t>
      </w:r>
      <w:proofErr w:type="gramStart"/>
      <w:r>
        <w:t>left over</w:t>
      </w:r>
      <w:proofErr w:type="gramEnd"/>
      <w:r>
        <w:t xml:space="preserve"> traffic. </w:t>
      </w:r>
    </w:p>
    <w:p w14:paraId="7A2B1E21" w14:textId="77777777" w:rsidR="005C58E2" w:rsidRDefault="005C58E2" w:rsidP="005C58E2">
      <w:pPr>
        <w:keepNext/>
      </w:pPr>
      <w:r w:rsidRPr="0022776D">
        <w:rPr>
          <w:noProof/>
        </w:rPr>
        <w:lastRenderedPageBreak/>
        <w:drawing>
          <wp:inline distT="0" distB="0" distL="0" distR="0" wp14:anchorId="7DBB2759" wp14:editId="0FE173AD">
            <wp:extent cx="6241415" cy="23635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2015" cy="2367581"/>
                    </a:xfrm>
                    <a:prstGeom prst="rect">
                      <a:avLst/>
                    </a:prstGeom>
                    <a:noFill/>
                    <a:ln>
                      <a:noFill/>
                    </a:ln>
                  </pic:spPr>
                </pic:pic>
              </a:graphicData>
            </a:graphic>
          </wp:inline>
        </w:drawing>
      </w:r>
    </w:p>
    <w:p w14:paraId="632FDB56" w14:textId="77777777" w:rsidR="005C58E2" w:rsidRDefault="005C58E2" w:rsidP="005C58E2">
      <w:pPr>
        <w:pStyle w:val="Caption"/>
        <w:jc w:val="center"/>
      </w:pPr>
      <w:r>
        <w:t xml:space="preserve">Figure </w:t>
      </w:r>
      <w:fldSimple w:instr=" SEQ Figure \* ARABIC ">
        <w:r>
          <w:rPr>
            <w:noProof/>
          </w:rPr>
          <w:t>2</w:t>
        </w:r>
      </w:fldSimple>
      <w:r>
        <w:t>: Problems with CG when the packet size varies significantly</w:t>
      </w:r>
    </w:p>
    <w:p w14:paraId="3DFE5C1E" w14:textId="77777777" w:rsidR="005C58E2" w:rsidRDefault="005C58E2" w:rsidP="005C58E2">
      <w:r>
        <w:t xml:space="preserve">So, some enhancements are needed to CG mechanism to optimise it for XR traffic. </w:t>
      </w:r>
    </w:p>
    <w:p w14:paraId="6220B7A0" w14:textId="77777777" w:rsidR="005C58E2" w:rsidRDefault="005C58E2" w:rsidP="005C58E2">
      <w:pPr>
        <w:rPr>
          <w:b/>
          <w:bCs/>
        </w:rPr>
      </w:pPr>
      <w:r>
        <w:rPr>
          <w:b/>
          <w:bCs/>
        </w:rPr>
        <w:t xml:space="preserve">Observation 1: </w:t>
      </w:r>
      <w:r w:rsidRPr="001D4DB4">
        <w:rPr>
          <w:b/>
          <w:bCs/>
        </w:rPr>
        <w:t>Using CG for traffic that has significant variance in packet size over time is suboptimal and hence some optimisations are necessary</w:t>
      </w:r>
    </w:p>
    <w:p w14:paraId="1C314EF7" w14:textId="68E46AFA" w:rsidR="005C58E2" w:rsidRDefault="005C58E2" w:rsidP="005C58E2">
      <w:r>
        <w:t xml:space="preserve">In order to solve the issue of varying packet size and potential jitter in UL traffic, one solution could be to use a combination of CG with DG. With this approach, the CG grant can be tailored to a lower packet size and then rely on the DG to clear the UL buffer when the packet size generated at the UE exceeds the CG grant size. </w:t>
      </w:r>
    </w:p>
    <w:p w14:paraId="2AAF2B67" w14:textId="77777777" w:rsidR="005C58E2" w:rsidRPr="00B60023" w:rsidRDefault="005C58E2" w:rsidP="005C58E2">
      <w:pPr>
        <w:rPr>
          <w:b/>
          <w:bCs/>
        </w:rPr>
      </w:pPr>
      <w:r w:rsidRPr="00B60023">
        <w:rPr>
          <w:b/>
          <w:bCs/>
        </w:rPr>
        <w:t>Proposal 2: Combination of CG with DG could be used to minimise the latency for packets that exceed the CG grant size</w:t>
      </w:r>
    </w:p>
    <w:p w14:paraId="1D20E7CF" w14:textId="77777777" w:rsidR="005C58E2" w:rsidRDefault="005C58E2" w:rsidP="005C58E2">
      <w:r w:rsidRPr="00B60023">
        <w:t xml:space="preserve">However, </w:t>
      </w:r>
      <w:r>
        <w:t xml:space="preserve">if DG requires an </w:t>
      </w:r>
      <w:r w:rsidRPr="0022776D">
        <w:rPr>
          <w:i/>
          <w:iCs/>
        </w:rPr>
        <w:t>SR + BSR + UL grant</w:t>
      </w:r>
      <w:r>
        <w:t xml:space="preserve"> cycle to schedule the remaining UL data, then this will incur significant latency for the UL traffic that exceeds the CG grant size. To minimise this extra latency, RAN2 should study some mechanisms where the UE can include an indication such as BSR whenever the pending UL data exceeds the CG grant size. </w:t>
      </w:r>
    </w:p>
    <w:p w14:paraId="1269BE6D" w14:textId="77777777" w:rsidR="005C58E2" w:rsidRPr="004A4FBA" w:rsidRDefault="005C58E2" w:rsidP="005C58E2">
      <w:r w:rsidRPr="00B60023">
        <w:rPr>
          <w:b/>
          <w:bCs/>
        </w:rPr>
        <w:t>Proposal 3: To minimise the UL latency for traffic that exceeds the CG grant size, RAN2 should study mechanisms where the UE can include an indication such as BSR whenever the pending UL data exceeds the CG grant size</w:t>
      </w:r>
    </w:p>
    <w:p w14:paraId="5F667C5F" w14:textId="77777777" w:rsidR="005C58E2" w:rsidRDefault="005C58E2">
      <w:pPr>
        <w:pStyle w:val="NormalWeb"/>
        <w:spacing w:before="75" w:beforeAutospacing="0" w:after="75" w:afterAutospacing="0" w:line="315" w:lineRule="atLeast"/>
        <w:rPr>
          <w:rFonts w:cs="Arial"/>
          <w:color w:val="000000"/>
          <w:sz w:val="21"/>
          <w:lang w:val="en-US" w:eastAsia="zh-CN"/>
        </w:rPr>
      </w:pPr>
    </w:p>
    <w:p w14:paraId="6F5AB496" w14:textId="4D505DA6" w:rsidR="00FF0F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rPr>
        <w:t>How to use the PDU set information in RAN</w:t>
      </w:r>
    </w:p>
    <w:p w14:paraId="05CEC6B9" w14:textId="77777777" w:rsidR="00FF0F78"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It has been agreed that the following PDU set information for both UL and DL is provided by the CN to RAN via control plane (NGAP):</w:t>
      </w:r>
    </w:p>
    <w:tbl>
      <w:tblPr>
        <w:tblStyle w:val="TableGrid"/>
        <w:tblW w:w="0" w:type="auto"/>
        <w:tblLook w:val="04A0" w:firstRow="1" w:lastRow="0" w:firstColumn="1" w:lastColumn="0" w:noHBand="0" w:noVBand="1"/>
      </w:tblPr>
      <w:tblGrid>
        <w:gridCol w:w="9771"/>
      </w:tblGrid>
      <w:tr w:rsidR="00FF0F78" w14:paraId="4AE7791C" w14:textId="77777777">
        <w:tc>
          <w:tcPr>
            <w:tcW w:w="9997" w:type="dxa"/>
          </w:tcPr>
          <w:p w14:paraId="68AA4DCB" w14:textId="77777777" w:rsidR="00FF0F78" w:rsidRDefault="00000000">
            <w:pPr>
              <w:pStyle w:val="B2"/>
              <w:rPr>
                <w:lang w:eastAsia="zh-CN"/>
              </w:rPr>
            </w:pPr>
            <w:r>
              <w:rPr>
                <w:lang w:eastAsia="zh-CN"/>
              </w:rPr>
              <w:t>-</w:t>
            </w:r>
            <w:r>
              <w:rPr>
                <w:lang w:eastAsia="zh-CN"/>
              </w:rPr>
              <w:tab/>
              <w:t>PDU Set QoS parameters:</w:t>
            </w:r>
          </w:p>
          <w:p w14:paraId="6877537D" w14:textId="77777777" w:rsidR="00FF0F78" w:rsidRDefault="00000000">
            <w:pPr>
              <w:pStyle w:val="B3"/>
            </w:pPr>
            <w:r>
              <w:lastRenderedPageBreak/>
              <w:t>-</w:t>
            </w:r>
            <w:r>
              <w:tab/>
            </w:r>
            <w:r>
              <w:rPr>
                <w:rFonts w:eastAsia="DengXian"/>
                <w:lang w:eastAsia="zh-CN"/>
              </w:rPr>
              <w:t>PDU Set Error Rate</w:t>
            </w:r>
            <w:r>
              <w:t xml:space="preserve"> (PSER): defines an upper bound for the rate of PDU Sets that have been processed by the sender of a link layer protocol but that are not successfully delivered by the corresponding receiver to the upper layer (see TR 23.700-60 [9]).</w:t>
            </w:r>
          </w:p>
          <w:p w14:paraId="44CACE15" w14:textId="77777777" w:rsidR="00FF0F78" w:rsidRDefault="00000000">
            <w:pPr>
              <w:pStyle w:val="NO"/>
            </w:pPr>
            <w:r>
              <w:t>NOTE:</w:t>
            </w:r>
            <w:r>
              <w:rPr>
                <w:rFonts w:eastAsia="DengXian"/>
              </w:rPr>
              <w:t xml:space="preserve"> </w:t>
            </w:r>
            <w:r>
              <w:rPr>
                <w:rFonts w:eastAsia="DengXian"/>
              </w:rPr>
              <w:tab/>
              <w:t>In this release, a PDU set is considered as successfully delivered when all PDUs of a PDU Set are delivered successfully.</w:t>
            </w:r>
          </w:p>
          <w:p w14:paraId="3350D625" w14:textId="77777777" w:rsidR="00FF0F78" w:rsidRDefault="00000000">
            <w:pPr>
              <w:pStyle w:val="B3"/>
              <w:rPr>
                <w:rFonts w:eastAsia="DengXian"/>
                <w:lang w:eastAsia="zh-CN"/>
              </w:rPr>
            </w:pPr>
            <w:r>
              <w:t>-</w:t>
            </w:r>
            <w:r>
              <w:tab/>
            </w:r>
            <w:r>
              <w:rPr>
                <w:rFonts w:eastAsia="DengXian"/>
                <w:lang w:eastAsia="zh-CN"/>
              </w:rPr>
              <w:t xml:space="preserve">PDU Set Delay Budget (PSDB): </w:t>
            </w:r>
            <w:r>
              <w:t xml:space="preserve">time between reception of the first PDU and the successful delivery of the last </w:t>
            </w:r>
            <w:r>
              <w:rPr>
                <w:rFonts w:eastAsia="DengXian"/>
                <w:lang w:eastAsia="zh-CN"/>
              </w:rPr>
              <w:t xml:space="preserve">arrived </w:t>
            </w:r>
            <w:r>
              <w:t>PDU of a PDU Set (see TR 23.700-60 [9])</w:t>
            </w:r>
            <w:r>
              <w:rPr>
                <w:rFonts w:eastAsia="DengXian"/>
                <w:lang w:eastAsia="zh-CN"/>
              </w:rPr>
              <w:t>. PSDB is an optional parameter.</w:t>
            </w:r>
          </w:p>
          <w:p w14:paraId="3F340D1A" w14:textId="77777777" w:rsidR="00FF0F78" w:rsidRDefault="00000000">
            <w:pPr>
              <w:pStyle w:val="B3"/>
              <w:rPr>
                <w:rFonts w:cs="Arial"/>
                <w:color w:val="000000"/>
                <w:sz w:val="21"/>
                <w:lang w:eastAsia="zh-CN"/>
              </w:rPr>
            </w:pPr>
            <w:r>
              <w:rPr>
                <w:lang w:eastAsia="zh-CN"/>
              </w:rPr>
              <w:t>-</w:t>
            </w:r>
            <w:r>
              <w:rPr>
                <w:lang w:eastAsia="zh-CN"/>
              </w:rPr>
              <w:tab/>
              <w:t xml:space="preserve">PDU Set Integrated Indication (PSII) </w:t>
            </w:r>
            <w:proofErr w:type="gramStart"/>
            <w:r>
              <w:rPr>
                <w:lang w:eastAsia="zh-CN"/>
              </w:rPr>
              <w:t>i.e.</w:t>
            </w:r>
            <w:proofErr w:type="gramEnd"/>
            <w:r>
              <w:rPr>
                <w:lang w:eastAsia="zh-CN"/>
              </w:rPr>
              <w:t xml:space="preserve"> whether all PDUs are needed for the usage of PDU Set by application layer.</w:t>
            </w:r>
          </w:p>
        </w:tc>
      </w:tr>
    </w:tbl>
    <w:p w14:paraId="2D1DF8C5" w14:textId="77777777" w:rsidR="00FF0F78"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lastRenderedPageBreak/>
        <w:t xml:space="preserve">Since it has been agreed that in this release, a PDU set is considered as successfully delivered when all PDUs of a PDU Set are delivered successfully, the PDU Set Integrated Indication (PSII) will not be used in this release. Only the PSER and PSDB should be considered. Similar as PER and PDB, the PSER and PSDB can be used in PDCP for PDU Set </w:t>
      </w:r>
      <w:r>
        <w:rPr>
          <w:rFonts w:cs="Arial" w:hint="eastAsia"/>
          <w:color w:val="000000"/>
          <w:sz w:val="21"/>
          <w:lang w:val="en-US" w:eastAsia="zh-CN"/>
        </w:rPr>
        <w:t>discard</w:t>
      </w:r>
      <w:r>
        <w:rPr>
          <w:rFonts w:cs="Arial"/>
          <w:color w:val="000000"/>
          <w:sz w:val="21"/>
          <w:lang w:val="en-US" w:eastAsia="zh-CN"/>
        </w:rPr>
        <w:t>ing.</w:t>
      </w:r>
    </w:p>
    <w:p w14:paraId="71DD6FFC" w14:textId="5CC7D4CE" w:rsidR="00FF0F78"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rPr>
        <w:t xml:space="preserve">Observation </w:t>
      </w:r>
      <w:r>
        <w:rPr>
          <w:rFonts w:eastAsia="SimSun" w:cs="Arial"/>
          <w:b/>
          <w:bCs/>
          <w:color w:val="000000"/>
          <w:sz w:val="21"/>
          <w:lang w:val="en-US" w:eastAsia="zh-CN"/>
        </w:rPr>
        <w:t>3</w:t>
      </w:r>
      <w:r>
        <w:rPr>
          <w:rFonts w:cs="Arial"/>
          <w:b/>
          <w:bCs/>
          <w:color w:val="000000"/>
          <w:sz w:val="21"/>
        </w:rPr>
        <w:t xml:space="preserve">: </w:t>
      </w:r>
      <w:r>
        <w:rPr>
          <w:rFonts w:cs="Arial"/>
          <w:b/>
          <w:bCs/>
          <w:color w:val="000000"/>
          <w:sz w:val="21"/>
          <w:lang w:val="en-US" w:eastAsia="zh-CN"/>
        </w:rPr>
        <w:t xml:space="preserve">The PSER and PSDB can be used in PDCP for PDU Set </w:t>
      </w:r>
      <w:r>
        <w:rPr>
          <w:rFonts w:cs="Arial" w:hint="eastAsia"/>
          <w:b/>
          <w:bCs/>
          <w:color w:val="000000"/>
          <w:sz w:val="21"/>
          <w:lang w:val="en-US" w:eastAsia="zh-CN"/>
        </w:rPr>
        <w:t>discarding.</w:t>
      </w:r>
    </w:p>
    <w:p w14:paraId="77E38CDC" w14:textId="77777777" w:rsidR="00210E68" w:rsidRDefault="00210E68" w:rsidP="00210E68">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PDU-set awareness in UL</w:t>
      </w:r>
    </w:p>
    <w:p w14:paraId="255CF435" w14:textId="77777777" w:rsidR="00210E68" w:rsidRDefault="00210E68" w:rsidP="00210E68">
      <w:r>
        <w:t xml:space="preserve">In NR, QoS handling is mainly based on </w:t>
      </w:r>
      <w:r w:rsidRPr="00210E68">
        <w:rPr>
          <w:i/>
          <w:iCs/>
        </w:rPr>
        <w:t>QoS Flows</w:t>
      </w:r>
      <w:r>
        <w:t xml:space="preserve">. i.e., currently, the </w:t>
      </w:r>
      <w:r w:rsidRPr="00210E68">
        <w:rPr>
          <w:i/>
          <w:iCs/>
        </w:rPr>
        <w:t>QoS Flow</w:t>
      </w:r>
      <w:r>
        <w:t xml:space="preserve"> is the finest granularity of QoS differentiation in the PDU Session. In UL, the application/service layer traffic (above the 3GPP protocol layers) are mapped to a given QoS flow based on QoS rules which are configured in the UE using NAS signalling. Reflective QoS is also used when configured based on the mapping used the opposite link. QoS flows today are largely determined based on the 5-Tupple IP identities. </w:t>
      </w:r>
    </w:p>
    <w:p w14:paraId="7A116859" w14:textId="30396B1D" w:rsidR="00210E68" w:rsidRDefault="000753A5" w:rsidP="00210E68">
      <w:r>
        <w:t xml:space="preserve">Based on the SA2 response, the XR traffic mapped to the same QoS flow will have same </w:t>
      </w:r>
      <w:r w:rsidRPr="000753A5">
        <w:t>PSER/PSDB/PSIHI</w:t>
      </w:r>
      <w:r>
        <w:t xml:space="preserve">. Thus, </w:t>
      </w:r>
      <w:r w:rsidR="000F30A4">
        <w:t xml:space="preserve">the updated NAS signalling can be used to map the UL traffic to QoS flows using packet filters configured by NAS potentially taking into account PSER/PSDB/PSIHI in addition to the legacy packet filter rules. Then, the </w:t>
      </w:r>
      <w:r>
        <w:t xml:space="preserve">legacy QoS flow to DRB mapping rules can be reused for XR in the SDAP layer. </w:t>
      </w:r>
    </w:p>
    <w:p w14:paraId="08DD0909" w14:textId="049A96D5" w:rsidR="00210E68" w:rsidRDefault="00210E68" w:rsidP="00210E68">
      <w:pPr>
        <w:rPr>
          <w:b/>
          <w:bCs/>
        </w:rPr>
      </w:pPr>
      <w:r w:rsidRPr="00210E68">
        <w:rPr>
          <w:b/>
          <w:bCs/>
        </w:rPr>
        <w:t xml:space="preserve">Proposal 4: For UL XR traffic, </w:t>
      </w:r>
      <w:r w:rsidR="000F30A4">
        <w:rPr>
          <w:b/>
          <w:bCs/>
        </w:rPr>
        <w:t xml:space="preserve">updated packet filters (taking into account PSER/PSDB/PSIHI) configured by NAS signalling can be used to map UL traffic to QoS flows. </w:t>
      </w:r>
    </w:p>
    <w:p w14:paraId="3999106B" w14:textId="769D257F" w:rsidR="000F30A4" w:rsidRPr="00210E68" w:rsidRDefault="000F30A4" w:rsidP="00210E68">
      <w:pPr>
        <w:rPr>
          <w:b/>
          <w:bCs/>
        </w:rPr>
      </w:pPr>
      <w:r>
        <w:rPr>
          <w:b/>
          <w:bCs/>
        </w:rPr>
        <w:t>Proposal 5: The legacy QoS flow to DRB mapping rules can be reused in SDAP layer for UL</w:t>
      </w:r>
    </w:p>
    <w:p w14:paraId="1EF05840" w14:textId="77777777" w:rsidR="00210E68" w:rsidRDefault="00210E68" w:rsidP="00210E68">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PDU-set awareness in DL</w:t>
      </w:r>
    </w:p>
    <w:p w14:paraId="571E0F41" w14:textId="77777777" w:rsidR="00FF0F78"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It has also been agreed that the following DL PDU set information is dynamically provided by the CN to RAN </w:t>
      </w:r>
      <w:r>
        <w:t>user plane</w:t>
      </w:r>
      <w:r>
        <w:rPr>
          <w:lang w:eastAsia="zh-CN"/>
        </w:rPr>
        <w:t xml:space="preserve"> (GTP-U header</w:t>
      </w:r>
      <w:r>
        <w:t>)</w:t>
      </w:r>
      <w:r>
        <w:rPr>
          <w:lang w:val="en-US"/>
        </w:rPr>
        <w:t>[2]</w:t>
      </w:r>
      <w:r>
        <w:rPr>
          <w:rFonts w:cs="Arial"/>
          <w:color w:val="000000"/>
          <w:sz w:val="21"/>
          <w:lang w:val="en-US" w:eastAsia="zh-CN"/>
        </w:rPr>
        <w:t>:</w:t>
      </w:r>
    </w:p>
    <w:tbl>
      <w:tblPr>
        <w:tblStyle w:val="TableGrid"/>
        <w:tblW w:w="0" w:type="auto"/>
        <w:tblLook w:val="04A0" w:firstRow="1" w:lastRow="0" w:firstColumn="1" w:lastColumn="0" w:noHBand="0" w:noVBand="1"/>
      </w:tblPr>
      <w:tblGrid>
        <w:gridCol w:w="9771"/>
      </w:tblGrid>
      <w:tr w:rsidR="00FF0F78" w14:paraId="11655EE0" w14:textId="77777777">
        <w:tc>
          <w:tcPr>
            <w:tcW w:w="9997" w:type="dxa"/>
          </w:tcPr>
          <w:p w14:paraId="373C226E" w14:textId="77777777" w:rsidR="00FF0F78" w:rsidRDefault="00000000">
            <w:pPr>
              <w:pStyle w:val="B2"/>
            </w:pPr>
            <w:r>
              <w:t>-</w:t>
            </w:r>
            <w:r>
              <w:tab/>
              <w:t>PDU Set Sequence Number;</w:t>
            </w:r>
          </w:p>
          <w:p w14:paraId="1901AC6E" w14:textId="77777777" w:rsidR="00FF0F78" w:rsidRDefault="00000000">
            <w:pPr>
              <w:pStyle w:val="B2"/>
              <w:rPr>
                <w:rFonts w:eastAsia="DengXian"/>
                <w:lang w:eastAsia="zh-CN"/>
              </w:rPr>
            </w:pPr>
            <w:r>
              <w:rPr>
                <w:rFonts w:eastAsia="DengXian"/>
                <w:lang w:eastAsia="zh-CN"/>
              </w:rPr>
              <w:t>-</w:t>
            </w:r>
            <w:r>
              <w:rPr>
                <w:rFonts w:eastAsia="DengXian"/>
                <w:lang w:eastAsia="zh-CN"/>
              </w:rPr>
              <w:tab/>
              <w:t>PDU Set Size in bytes;</w:t>
            </w:r>
          </w:p>
          <w:p w14:paraId="7040C2F6" w14:textId="77777777" w:rsidR="00FF0F78" w:rsidRDefault="00000000">
            <w:pPr>
              <w:pStyle w:val="B2"/>
              <w:rPr>
                <w:rFonts w:eastAsia="DengXian"/>
                <w:lang w:eastAsia="zh-CN"/>
              </w:rPr>
            </w:pPr>
            <w:r>
              <w:rPr>
                <w:rFonts w:eastAsia="DengXian"/>
                <w:lang w:eastAsia="zh-CN"/>
              </w:rPr>
              <w:t>-</w:t>
            </w:r>
            <w:r>
              <w:rPr>
                <w:rFonts w:eastAsia="DengXian"/>
                <w:lang w:eastAsia="zh-CN"/>
              </w:rPr>
              <w:tab/>
              <w:t>PDU SN within a PDU Set;</w:t>
            </w:r>
          </w:p>
          <w:p w14:paraId="7F8450BF" w14:textId="77777777" w:rsidR="00FF0F78" w:rsidRDefault="00000000">
            <w:pPr>
              <w:pStyle w:val="B2"/>
              <w:rPr>
                <w:rFonts w:eastAsia="DengXian"/>
                <w:lang w:eastAsia="zh-CN"/>
              </w:rPr>
            </w:pPr>
            <w:r>
              <w:t>-</w:t>
            </w:r>
            <w:r>
              <w:tab/>
            </w:r>
            <w:r>
              <w:rPr>
                <w:rFonts w:eastAsia="DengXian"/>
                <w:lang w:eastAsia="zh-CN"/>
              </w:rPr>
              <w:t>End PDU of the PDU Set;</w:t>
            </w:r>
          </w:p>
          <w:p w14:paraId="121AB97C" w14:textId="77777777" w:rsidR="00FF0F78" w:rsidRDefault="00000000">
            <w:pPr>
              <w:pStyle w:val="B2"/>
              <w:rPr>
                <w:rFonts w:eastAsia="DengXian"/>
                <w:lang w:eastAsia="zh-CN"/>
              </w:rPr>
            </w:pPr>
            <w:r>
              <w:rPr>
                <w:rFonts w:eastAsia="DengXian"/>
                <w:lang w:eastAsia="zh-CN"/>
              </w:rPr>
              <w:t>-</w:t>
            </w:r>
            <w:r>
              <w:rPr>
                <w:rFonts w:eastAsia="DengXian"/>
                <w:lang w:eastAsia="zh-CN"/>
              </w:rPr>
              <w:tab/>
              <w:t>PDU Set Importance: this parameter is used to identify the importance of a PDU Set within a QoS flow. RAN may use it for PDU Set level packet discarding in presence of congestion;</w:t>
            </w:r>
          </w:p>
          <w:p w14:paraId="264A7488" w14:textId="77777777" w:rsidR="00FF0F78" w:rsidRDefault="00000000">
            <w:pPr>
              <w:pStyle w:val="B2"/>
              <w:rPr>
                <w:rFonts w:eastAsia="DengXian"/>
                <w:lang w:val="en-US" w:eastAsia="zh-CN"/>
              </w:rPr>
            </w:pPr>
            <w:r>
              <w:rPr>
                <w:rFonts w:eastAsia="DengXian"/>
                <w:lang w:eastAsia="zh-CN"/>
              </w:rPr>
              <w:lastRenderedPageBreak/>
              <w:t>-</w:t>
            </w:r>
            <w:r>
              <w:rPr>
                <w:rFonts w:eastAsia="DengXian"/>
                <w:lang w:eastAsia="zh-CN"/>
              </w:rPr>
              <w:tab/>
            </w:r>
            <w:r>
              <w:t>End of Data Burst indication in the header of the last PDU of the Data Burst (optional).</w:t>
            </w:r>
          </w:p>
        </w:tc>
      </w:tr>
    </w:tbl>
    <w:p w14:paraId="78F56634" w14:textId="77777777" w:rsidR="00FF0F78"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lastRenderedPageBreak/>
        <w:t xml:space="preserve">The PDU Set Sequence Number, PDU Set Size in bytes, PDU SN within a PDU Set and End PDU of the PDU Set can be used by RAN to decide which PDUs belong to a same PDU set, and </w:t>
      </w:r>
      <w:r>
        <w:rPr>
          <w:rFonts w:cs="Arial" w:hint="eastAsia"/>
          <w:color w:val="000000"/>
          <w:sz w:val="21"/>
          <w:lang w:val="en-US" w:eastAsia="zh-CN"/>
        </w:rPr>
        <w:t>discard</w:t>
      </w:r>
      <w:r>
        <w:rPr>
          <w:rFonts w:cs="Arial"/>
          <w:color w:val="000000"/>
          <w:sz w:val="21"/>
          <w:lang w:val="en-US" w:eastAsia="zh-CN"/>
        </w:rPr>
        <w:t xml:space="preserve"> the PDU set based on PSER and PSDB. End of Data Burst indication in user plane (GTP-U header) can be used by </w:t>
      </w:r>
      <w:proofErr w:type="spellStart"/>
      <w:r>
        <w:rPr>
          <w:rFonts w:cs="Arial"/>
          <w:color w:val="000000"/>
          <w:sz w:val="21"/>
          <w:lang w:val="en-US" w:eastAsia="zh-CN"/>
        </w:rPr>
        <w:t>gNB</w:t>
      </w:r>
      <w:proofErr w:type="spellEnd"/>
      <w:r>
        <w:rPr>
          <w:rFonts w:cs="Arial"/>
          <w:color w:val="000000"/>
          <w:sz w:val="21"/>
          <w:lang w:val="en-US" w:eastAsia="zh-CN"/>
        </w:rPr>
        <w:t xml:space="preserve"> to decide which PDU sets belong to the same data burst, which can be used associated with PDU Set Importance in user plane (GTP-U header) for PDU set </w:t>
      </w:r>
      <w:r>
        <w:rPr>
          <w:rFonts w:cs="Arial" w:hint="eastAsia"/>
          <w:color w:val="000000"/>
          <w:sz w:val="21"/>
          <w:lang w:val="en-US" w:eastAsia="zh-CN"/>
        </w:rPr>
        <w:t>discard</w:t>
      </w:r>
      <w:r>
        <w:rPr>
          <w:rFonts w:cs="Arial"/>
          <w:color w:val="000000"/>
          <w:sz w:val="21"/>
          <w:lang w:val="en-US" w:eastAsia="zh-CN"/>
        </w:rPr>
        <w:t xml:space="preserve">ing during </w:t>
      </w:r>
      <w:proofErr w:type="spellStart"/>
      <w:r>
        <w:rPr>
          <w:rFonts w:cs="Arial"/>
          <w:color w:val="000000"/>
          <w:sz w:val="21"/>
          <w:lang w:val="en-US" w:eastAsia="zh-CN"/>
        </w:rPr>
        <w:t>Uu</w:t>
      </w:r>
      <w:proofErr w:type="spellEnd"/>
      <w:r>
        <w:rPr>
          <w:rFonts w:cs="Arial"/>
          <w:color w:val="000000"/>
          <w:sz w:val="21"/>
          <w:lang w:val="en-US" w:eastAsia="zh-CN"/>
        </w:rPr>
        <w:t xml:space="preserve"> congestion. Thus, PDU set information included in user plane (GTP-U header) should be known by the PDCP entity. </w:t>
      </w:r>
    </w:p>
    <w:p w14:paraId="795EC6E2" w14:textId="2E2DA180" w:rsidR="00FF0F78"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Observation 4: PDU set information in user plane should be known by the PDCP entity to identify which PDUs belong to the same PDU set and to decide to </w:t>
      </w:r>
      <w:r>
        <w:rPr>
          <w:rFonts w:cs="Arial" w:hint="eastAsia"/>
          <w:b/>
          <w:bCs/>
          <w:color w:val="000000"/>
          <w:sz w:val="21"/>
          <w:lang w:val="en-US" w:eastAsia="zh-CN"/>
        </w:rPr>
        <w:t xml:space="preserve">discard </w:t>
      </w:r>
      <w:r>
        <w:rPr>
          <w:rFonts w:cs="Arial"/>
          <w:b/>
          <w:bCs/>
          <w:color w:val="000000"/>
          <w:sz w:val="21"/>
          <w:lang w:val="en-US" w:eastAsia="zh-CN"/>
        </w:rPr>
        <w:t>which PDU set when necessary.</w:t>
      </w:r>
    </w:p>
    <w:p w14:paraId="4C5B3250" w14:textId="6C6B451C" w:rsidR="00210E68" w:rsidRDefault="00210E68" w:rsidP="00210E68">
      <w:pPr>
        <w:rPr>
          <w:b/>
          <w:bCs/>
        </w:rPr>
      </w:pPr>
      <w:r w:rsidRPr="000D7A5A">
        <w:rPr>
          <w:b/>
          <w:bCs/>
        </w:rPr>
        <w:t xml:space="preserve">Proposal </w:t>
      </w:r>
      <w:r w:rsidR="000F30A4">
        <w:rPr>
          <w:b/>
          <w:bCs/>
        </w:rPr>
        <w:t>6</w:t>
      </w:r>
      <w:r w:rsidRPr="000D7A5A">
        <w:rPr>
          <w:b/>
          <w:bCs/>
        </w:rPr>
        <w:t xml:space="preserve">: In DL the </w:t>
      </w:r>
      <w:proofErr w:type="spellStart"/>
      <w:r w:rsidRPr="000D7A5A">
        <w:rPr>
          <w:b/>
          <w:bCs/>
        </w:rPr>
        <w:t>gNB</w:t>
      </w:r>
      <w:proofErr w:type="spellEnd"/>
      <w:r w:rsidRPr="000D7A5A">
        <w:rPr>
          <w:b/>
          <w:bCs/>
        </w:rPr>
        <w:t xml:space="preserve"> can map the DL XR traffic to DRBs based on QoS flow information </w:t>
      </w:r>
    </w:p>
    <w:p w14:paraId="6A473A88" w14:textId="76B8AF87" w:rsidR="000F30A4" w:rsidRPr="00490024" w:rsidRDefault="000F30A4" w:rsidP="00210E68">
      <w:pPr>
        <w:rPr>
          <w:b/>
          <w:bCs/>
        </w:rPr>
      </w:pPr>
      <w:r>
        <w:rPr>
          <w:b/>
          <w:bCs/>
        </w:rPr>
        <w:t>Proposal 7: The PDU Set information in GTP header are taken into account in the PDCP layer to in the PDCP packet discard mechanism</w:t>
      </w:r>
    </w:p>
    <w:p w14:paraId="27997FCC" w14:textId="77777777" w:rsidR="00210E68" w:rsidRDefault="00210E68">
      <w:pPr>
        <w:pStyle w:val="NormalWeb"/>
        <w:spacing w:before="75" w:beforeAutospacing="0" w:after="75" w:afterAutospacing="0" w:line="315" w:lineRule="atLeast"/>
        <w:rPr>
          <w:rFonts w:cs="Arial"/>
          <w:b/>
          <w:bCs/>
          <w:color w:val="000000"/>
          <w:sz w:val="21"/>
          <w:lang w:val="en-US" w:eastAsia="zh-CN"/>
        </w:rPr>
      </w:pPr>
    </w:p>
    <w:p w14:paraId="20E6B609" w14:textId="77777777" w:rsidR="00FF0F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39F0974" w14:textId="574B46F0" w:rsidR="003320CB" w:rsidRPr="003320CB" w:rsidRDefault="003320CB" w:rsidP="003320CB">
      <w:pPr>
        <w:rPr>
          <w:b/>
          <w:bCs/>
          <w:u w:val="single"/>
        </w:rPr>
      </w:pPr>
      <w:bookmarkStart w:id="7" w:name="_Toc18404543"/>
      <w:bookmarkStart w:id="8" w:name="_Toc18413612"/>
      <w:bookmarkStart w:id="9" w:name="_Toc18403976"/>
      <w:r w:rsidRPr="003320CB">
        <w:rPr>
          <w:b/>
          <w:bCs/>
          <w:u w:val="single"/>
        </w:rPr>
        <w:t>For UL jitter</w:t>
      </w:r>
    </w:p>
    <w:p w14:paraId="1B9625EA" w14:textId="66E7546F" w:rsidR="003320CB" w:rsidRPr="003320CB" w:rsidRDefault="003320CB" w:rsidP="003320CB">
      <w:pPr>
        <w:rPr>
          <w:b/>
          <w:bCs/>
        </w:rPr>
      </w:pPr>
      <w:r w:rsidRPr="003320CB">
        <w:rPr>
          <w:b/>
          <w:bCs/>
        </w:rPr>
        <w:t xml:space="preserve">Proposal 1: </w:t>
      </w:r>
      <w:r>
        <w:rPr>
          <w:b/>
          <w:bCs/>
        </w:rPr>
        <w:t xml:space="preserve">To handle the UL jitter and multiple inherent periodicities within UL traffic, </w:t>
      </w:r>
      <w:r w:rsidRPr="003320CB">
        <w:rPr>
          <w:b/>
          <w:bCs/>
        </w:rPr>
        <w:t xml:space="preserve">Multiple CG grants can be configured to the UE </w:t>
      </w:r>
    </w:p>
    <w:p w14:paraId="6A392FDD" w14:textId="77777777" w:rsidR="003320CB" w:rsidRPr="003320CB" w:rsidRDefault="003320CB" w:rsidP="003320CB">
      <w:pPr>
        <w:rPr>
          <w:b/>
          <w:bCs/>
        </w:rPr>
      </w:pPr>
      <w:r w:rsidRPr="003320CB">
        <w:rPr>
          <w:b/>
          <w:bCs/>
        </w:rPr>
        <w:t>Proposal 2: Combination of CG with DG could be used to minimise the latency for packets that exceed the CG grant size</w:t>
      </w:r>
    </w:p>
    <w:p w14:paraId="2EEE116B" w14:textId="7DED5A99" w:rsidR="003320CB" w:rsidRDefault="003320CB" w:rsidP="003320CB">
      <w:pPr>
        <w:rPr>
          <w:b/>
          <w:bCs/>
        </w:rPr>
      </w:pPr>
      <w:r w:rsidRPr="003320CB">
        <w:rPr>
          <w:b/>
          <w:bCs/>
        </w:rPr>
        <w:t xml:space="preserve">Proposal 3: To minimise the UL latency for traffic that exceeds the CG grant size, RAN2 should </w:t>
      </w:r>
      <w:r>
        <w:rPr>
          <w:b/>
          <w:bCs/>
        </w:rPr>
        <w:t>define</w:t>
      </w:r>
      <w:r w:rsidRPr="003320CB">
        <w:rPr>
          <w:b/>
          <w:bCs/>
        </w:rPr>
        <w:t xml:space="preserve"> mechanisms where the UE can include an indication such as BSR whenever the pending UL data exceeds the CG grant size</w:t>
      </w:r>
    </w:p>
    <w:p w14:paraId="15B991A0" w14:textId="160D89BD" w:rsidR="003320CB" w:rsidRPr="003320CB" w:rsidRDefault="003320CB" w:rsidP="003320CB">
      <w:pPr>
        <w:rPr>
          <w:u w:val="single"/>
        </w:rPr>
      </w:pPr>
      <w:r w:rsidRPr="003320CB">
        <w:rPr>
          <w:b/>
          <w:bCs/>
          <w:u w:val="single"/>
        </w:rPr>
        <w:t>How to use PDU Set information in RAN</w:t>
      </w:r>
    </w:p>
    <w:p w14:paraId="7E1F116E" w14:textId="77777777" w:rsidR="003320CB" w:rsidRPr="003320CB" w:rsidRDefault="003320CB" w:rsidP="003320CB">
      <w:pPr>
        <w:rPr>
          <w:b/>
          <w:bCs/>
        </w:rPr>
      </w:pPr>
      <w:r w:rsidRPr="003320CB">
        <w:rPr>
          <w:b/>
          <w:bCs/>
        </w:rPr>
        <w:t xml:space="preserve">Proposal 4: For UL XR traffic, updated packet filters (taking into account PSER/PSDB/PSIHI) configured by NAS signalling can be used to map UL traffic to QoS flows. </w:t>
      </w:r>
    </w:p>
    <w:p w14:paraId="08ECA7D1" w14:textId="77777777" w:rsidR="003320CB" w:rsidRPr="003320CB" w:rsidRDefault="003320CB" w:rsidP="003320CB">
      <w:pPr>
        <w:rPr>
          <w:b/>
          <w:bCs/>
        </w:rPr>
      </w:pPr>
      <w:r w:rsidRPr="003320CB">
        <w:rPr>
          <w:b/>
          <w:bCs/>
        </w:rPr>
        <w:t>Proposal 5: The legacy QoS flow to DRB mapping rules can be reused in SDAP layer for UL</w:t>
      </w:r>
    </w:p>
    <w:p w14:paraId="79EEC454" w14:textId="77777777" w:rsidR="003320CB" w:rsidRPr="003320CB" w:rsidRDefault="003320CB" w:rsidP="003320CB">
      <w:pPr>
        <w:rPr>
          <w:b/>
          <w:bCs/>
        </w:rPr>
      </w:pPr>
      <w:r w:rsidRPr="003320CB">
        <w:rPr>
          <w:b/>
          <w:bCs/>
        </w:rPr>
        <w:t xml:space="preserve">Proposal 6: In DL the </w:t>
      </w:r>
      <w:proofErr w:type="spellStart"/>
      <w:r w:rsidRPr="003320CB">
        <w:rPr>
          <w:b/>
          <w:bCs/>
        </w:rPr>
        <w:t>gNB</w:t>
      </w:r>
      <w:proofErr w:type="spellEnd"/>
      <w:r w:rsidRPr="003320CB">
        <w:rPr>
          <w:b/>
          <w:bCs/>
        </w:rPr>
        <w:t xml:space="preserve"> can map the DL XR traffic to DRBs based on QoS flow information </w:t>
      </w:r>
    </w:p>
    <w:p w14:paraId="57EECEB0" w14:textId="77777777" w:rsidR="003320CB" w:rsidRPr="003320CB" w:rsidRDefault="003320CB" w:rsidP="003320CB">
      <w:pPr>
        <w:rPr>
          <w:b/>
          <w:bCs/>
        </w:rPr>
      </w:pPr>
      <w:r w:rsidRPr="003320CB">
        <w:rPr>
          <w:b/>
          <w:bCs/>
        </w:rPr>
        <w:t>Proposal 7: The PDU Set information in GTP header are taken into account in the PDCP layer to in the PDCP packet discard mechanism</w:t>
      </w:r>
    </w:p>
    <w:p w14:paraId="7A85BC6C" w14:textId="77777777" w:rsidR="00FF0F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779A82B4" w14:textId="77777777" w:rsidR="00FF0F78"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7D951CD0" w14:textId="77777777" w:rsidR="00FF0F78"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lastRenderedPageBreak/>
        <w:t>3GPP TR 23.700-60 V1.3.0 (2022-11)</w:t>
      </w:r>
      <w:r>
        <w:rPr>
          <w:rFonts w:eastAsia="SimSun" w:cs="Arial" w:hint="eastAsia"/>
          <w:color w:val="000000"/>
          <w:sz w:val="21"/>
          <w:lang w:val="en-US" w:eastAsia="zh-CN"/>
        </w:rPr>
        <w:t>, Study on XR (Extended Reality) and media services</w:t>
      </w:r>
    </w:p>
    <w:sectPr w:rsidR="00FF0F78">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8866A" w14:textId="77777777" w:rsidR="002A003D" w:rsidRDefault="002A003D">
      <w:pPr>
        <w:spacing w:line="240" w:lineRule="auto"/>
      </w:pPr>
      <w:r>
        <w:separator/>
      </w:r>
    </w:p>
  </w:endnote>
  <w:endnote w:type="continuationSeparator" w:id="0">
    <w:p w14:paraId="0423E1FD" w14:textId="77777777" w:rsidR="002A003D" w:rsidRDefault="002A00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A6620" w14:textId="77777777" w:rsidR="00FF0F7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ECA0BC" w14:textId="77777777" w:rsidR="00FF0F78" w:rsidRDefault="00FF0F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E7A5" w14:textId="77777777" w:rsidR="00FF0F78" w:rsidRDefault="00FF0F7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E8D0F" w14:textId="77777777" w:rsidR="00A9008D" w:rsidRDefault="00A90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6A00" w14:textId="77777777" w:rsidR="002A003D" w:rsidRDefault="002A003D">
      <w:pPr>
        <w:spacing w:after="0"/>
      </w:pPr>
      <w:r>
        <w:separator/>
      </w:r>
    </w:p>
  </w:footnote>
  <w:footnote w:type="continuationSeparator" w:id="0">
    <w:p w14:paraId="68631373" w14:textId="77777777" w:rsidR="002A003D" w:rsidRDefault="002A00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D3379" w14:textId="77777777" w:rsidR="00A9008D" w:rsidRDefault="00A900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9305F" w14:textId="77777777" w:rsidR="00FF0F78" w:rsidRDefault="00FF0F7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F922" w14:textId="77777777" w:rsidR="00A9008D" w:rsidRDefault="00A900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6546516">
    <w:abstractNumId w:val="1"/>
  </w:num>
  <w:num w:numId="2" w16cid:durableId="2102528070">
    <w:abstractNumId w:val="5"/>
  </w:num>
  <w:num w:numId="3" w16cid:durableId="1852179954">
    <w:abstractNumId w:val="3"/>
  </w:num>
  <w:num w:numId="4" w16cid:durableId="436415688">
    <w:abstractNumId w:val="4"/>
  </w:num>
  <w:num w:numId="5" w16cid:durableId="413474515">
    <w:abstractNumId w:val="2"/>
  </w:num>
  <w:num w:numId="6" w16cid:durableId="735470364">
    <w:abstractNumId w:val="0"/>
  </w:num>
  <w:num w:numId="7" w16cid:durableId="18545691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3A5"/>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30A4"/>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0E68"/>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003D"/>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618"/>
    <w:rsid w:val="00330B4E"/>
    <w:rsid w:val="0033176D"/>
    <w:rsid w:val="003320CB"/>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6094"/>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8E2"/>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33C"/>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37FD"/>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3C64"/>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2D6"/>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8D"/>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3F"/>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5E4F"/>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382A"/>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0F78"/>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577BCF"/>
    <w:rsid w:val="0E6F0740"/>
    <w:rsid w:val="0F321E2D"/>
    <w:rsid w:val="10DF3115"/>
    <w:rsid w:val="131C76E1"/>
    <w:rsid w:val="1501485D"/>
    <w:rsid w:val="15262A53"/>
    <w:rsid w:val="15863F5B"/>
    <w:rsid w:val="160E1444"/>
    <w:rsid w:val="18E875B6"/>
    <w:rsid w:val="1A9B1F53"/>
    <w:rsid w:val="1B3D4012"/>
    <w:rsid w:val="1B481AFB"/>
    <w:rsid w:val="1D235F66"/>
    <w:rsid w:val="1D330706"/>
    <w:rsid w:val="1D665A9E"/>
    <w:rsid w:val="1D8D3AB3"/>
    <w:rsid w:val="1DF811A3"/>
    <w:rsid w:val="1E21472F"/>
    <w:rsid w:val="1E64724C"/>
    <w:rsid w:val="1EB2633F"/>
    <w:rsid w:val="1F51614F"/>
    <w:rsid w:val="20705710"/>
    <w:rsid w:val="211E529B"/>
    <w:rsid w:val="2300414A"/>
    <w:rsid w:val="232660FF"/>
    <w:rsid w:val="248512BD"/>
    <w:rsid w:val="25A05924"/>
    <w:rsid w:val="2744098B"/>
    <w:rsid w:val="2A4A4D64"/>
    <w:rsid w:val="2AA14025"/>
    <w:rsid w:val="2AA823D6"/>
    <w:rsid w:val="2B2348E2"/>
    <w:rsid w:val="2C7F2EA6"/>
    <w:rsid w:val="2D1E05D5"/>
    <w:rsid w:val="2DBE4F62"/>
    <w:rsid w:val="3003631E"/>
    <w:rsid w:val="3078124A"/>
    <w:rsid w:val="3090209F"/>
    <w:rsid w:val="31DE1118"/>
    <w:rsid w:val="32C850C3"/>
    <w:rsid w:val="32D900A8"/>
    <w:rsid w:val="38FA0996"/>
    <w:rsid w:val="39193DDA"/>
    <w:rsid w:val="396E02FE"/>
    <w:rsid w:val="3AA26C9B"/>
    <w:rsid w:val="3ADC5E36"/>
    <w:rsid w:val="3C3F7E0E"/>
    <w:rsid w:val="3C9D72E1"/>
    <w:rsid w:val="3DE86A53"/>
    <w:rsid w:val="3E7A082F"/>
    <w:rsid w:val="41A44BD2"/>
    <w:rsid w:val="42680181"/>
    <w:rsid w:val="437906BF"/>
    <w:rsid w:val="44C70D28"/>
    <w:rsid w:val="452560E2"/>
    <w:rsid w:val="454E006C"/>
    <w:rsid w:val="45D823D0"/>
    <w:rsid w:val="4625557D"/>
    <w:rsid w:val="465173C0"/>
    <w:rsid w:val="47727391"/>
    <w:rsid w:val="49613924"/>
    <w:rsid w:val="498254A8"/>
    <w:rsid w:val="49DD7C63"/>
    <w:rsid w:val="4B3040AF"/>
    <w:rsid w:val="4C081A35"/>
    <w:rsid w:val="4CF24C8C"/>
    <w:rsid w:val="4D786103"/>
    <w:rsid w:val="4F2F25EA"/>
    <w:rsid w:val="50F36CD9"/>
    <w:rsid w:val="514C6491"/>
    <w:rsid w:val="53AB764B"/>
    <w:rsid w:val="542E0C2A"/>
    <w:rsid w:val="54B46905"/>
    <w:rsid w:val="55E15918"/>
    <w:rsid w:val="56830F29"/>
    <w:rsid w:val="56BF0EA2"/>
    <w:rsid w:val="56CE15F2"/>
    <w:rsid w:val="570E3261"/>
    <w:rsid w:val="57A329FE"/>
    <w:rsid w:val="59414843"/>
    <w:rsid w:val="59996800"/>
    <w:rsid w:val="5AAB3547"/>
    <w:rsid w:val="5B2C56F7"/>
    <w:rsid w:val="5BDF3319"/>
    <w:rsid w:val="5D793BEB"/>
    <w:rsid w:val="5D93468D"/>
    <w:rsid w:val="5E341FEC"/>
    <w:rsid w:val="5EA87B0A"/>
    <w:rsid w:val="5EB119EE"/>
    <w:rsid w:val="5F8828F6"/>
    <w:rsid w:val="626E2D07"/>
    <w:rsid w:val="62B8321C"/>
    <w:rsid w:val="63766DF5"/>
    <w:rsid w:val="63A965A7"/>
    <w:rsid w:val="63E41E32"/>
    <w:rsid w:val="648F28B4"/>
    <w:rsid w:val="66E97154"/>
    <w:rsid w:val="66F9171A"/>
    <w:rsid w:val="6761194F"/>
    <w:rsid w:val="67A01566"/>
    <w:rsid w:val="67A84465"/>
    <w:rsid w:val="6867310D"/>
    <w:rsid w:val="69797C2C"/>
    <w:rsid w:val="6BCF5F88"/>
    <w:rsid w:val="6D1112AB"/>
    <w:rsid w:val="6D735E56"/>
    <w:rsid w:val="6D935AB0"/>
    <w:rsid w:val="6E087119"/>
    <w:rsid w:val="70D03D2D"/>
    <w:rsid w:val="71173046"/>
    <w:rsid w:val="72E9489F"/>
    <w:rsid w:val="73E1565D"/>
    <w:rsid w:val="75544B2F"/>
    <w:rsid w:val="760A43BF"/>
    <w:rsid w:val="775F2EB8"/>
    <w:rsid w:val="783E4597"/>
    <w:rsid w:val="7A265E0F"/>
    <w:rsid w:val="7B82113C"/>
    <w:rsid w:val="7BD44AB5"/>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2404F"/>
  <w15:docId w15:val="{358C92AE-EDAE-4BFC-BBF2-5CD03A67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styleId="Revision">
    <w:name w:val="Revision"/>
    <w:hidden/>
    <w:uiPriority w:val="99"/>
    <w:semiHidden/>
    <w:rsid w:val="005C58E2"/>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594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ZTE_Liuyu</cp:lastModifiedBy>
  <cp:revision>8</cp:revision>
  <cp:lastPrinted>2113-01-01T00:00:00Z</cp:lastPrinted>
  <dcterms:created xsi:type="dcterms:W3CDTF">2023-02-09T16:06:00Z</dcterms:created>
  <dcterms:modified xsi:type="dcterms:W3CDTF">2023-02-16T15:59:00Z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